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2E" w:rsidRPr="007F5FBD" w:rsidRDefault="009C782E" w:rsidP="009C782E">
      <w:pPr>
        <w:pStyle w:val="Header"/>
        <w:rPr>
          <w:sz w:val="20"/>
          <w:szCs w:val="20"/>
        </w:rPr>
      </w:pPr>
      <w:r w:rsidRPr="00DD6688">
        <w:rPr>
          <w:sz w:val="20"/>
          <w:szCs w:val="20"/>
        </w:rPr>
        <w:t>Indian Journal of Basic and Applied Medical Research; September 20</w:t>
      </w:r>
      <w:r>
        <w:rPr>
          <w:sz w:val="20"/>
          <w:szCs w:val="20"/>
        </w:rPr>
        <w:t>15: Vol.-4, Issue- 4, P. 668-672</w:t>
      </w:r>
    </w:p>
    <w:p w:rsidR="009C782E" w:rsidRDefault="009C782E" w:rsidP="009C782E">
      <w:pPr>
        <w:spacing w:line="360" w:lineRule="auto"/>
        <w:jc w:val="both"/>
        <w:rPr>
          <w:rFonts w:asciiTheme="majorHAnsi" w:hAnsiTheme="majorHAnsi"/>
          <w:b/>
          <w:highlight w:val="lightGray"/>
        </w:rPr>
      </w:pPr>
    </w:p>
    <w:p w:rsidR="009C782E" w:rsidRPr="007F5FBD" w:rsidRDefault="009C782E" w:rsidP="009C782E">
      <w:pPr>
        <w:spacing w:line="360" w:lineRule="auto"/>
        <w:jc w:val="both"/>
        <w:rPr>
          <w:rFonts w:asciiTheme="majorHAnsi" w:hAnsiTheme="majorHAnsi"/>
          <w:b/>
        </w:rPr>
      </w:pPr>
      <w:r w:rsidRPr="007F5FBD">
        <w:rPr>
          <w:rFonts w:asciiTheme="majorHAnsi" w:hAnsiTheme="majorHAnsi"/>
          <w:b/>
          <w:highlight w:val="lightGray"/>
        </w:rPr>
        <w:t>Original article:</w:t>
      </w:r>
    </w:p>
    <w:p w:rsidR="009C782E" w:rsidRPr="007F5FBD" w:rsidRDefault="009C782E" w:rsidP="009C782E">
      <w:pPr>
        <w:spacing w:line="360" w:lineRule="auto"/>
        <w:rPr>
          <w:rFonts w:asciiTheme="majorHAnsi" w:hAnsiTheme="majorHAnsi"/>
          <w:b/>
          <w:color w:val="1F497D" w:themeColor="text2"/>
        </w:rPr>
      </w:pPr>
      <w:proofErr w:type="spellStart"/>
      <w:r w:rsidRPr="007F5FBD">
        <w:rPr>
          <w:rFonts w:asciiTheme="majorHAnsi" w:hAnsiTheme="majorHAnsi"/>
          <w:b/>
          <w:color w:val="1F497D" w:themeColor="text2"/>
        </w:rPr>
        <w:t>Supraclavicular</w:t>
      </w:r>
      <w:proofErr w:type="spellEnd"/>
      <w:r w:rsidRPr="007F5FBD">
        <w:rPr>
          <w:rFonts w:asciiTheme="majorHAnsi" w:hAnsiTheme="majorHAnsi"/>
          <w:b/>
          <w:color w:val="1F497D" w:themeColor="text2"/>
        </w:rPr>
        <w:t xml:space="preserve"> block with 0.5% </w:t>
      </w:r>
      <w:proofErr w:type="spellStart"/>
      <w:r w:rsidRPr="007F5FBD">
        <w:rPr>
          <w:rFonts w:asciiTheme="majorHAnsi" w:hAnsiTheme="majorHAnsi"/>
          <w:b/>
          <w:color w:val="1F497D" w:themeColor="text2"/>
        </w:rPr>
        <w:t>levobupivacaine</w:t>
      </w:r>
      <w:proofErr w:type="spellEnd"/>
      <w:r w:rsidRPr="007F5FBD">
        <w:rPr>
          <w:rFonts w:asciiTheme="majorHAnsi" w:hAnsiTheme="majorHAnsi"/>
          <w:b/>
          <w:color w:val="1F497D" w:themeColor="text2"/>
        </w:rPr>
        <w:t xml:space="preserve"> and 0.5% </w:t>
      </w:r>
      <w:proofErr w:type="spellStart"/>
      <w:r w:rsidRPr="007F5FBD">
        <w:rPr>
          <w:rFonts w:asciiTheme="majorHAnsi" w:hAnsiTheme="majorHAnsi"/>
          <w:b/>
          <w:color w:val="1F497D" w:themeColor="text2"/>
        </w:rPr>
        <w:t>ropivacaine</w:t>
      </w:r>
      <w:proofErr w:type="spellEnd"/>
      <w:r w:rsidRPr="007F5FBD">
        <w:rPr>
          <w:rFonts w:asciiTheme="majorHAnsi" w:hAnsiTheme="majorHAnsi"/>
          <w:b/>
          <w:color w:val="1F497D" w:themeColor="text2"/>
        </w:rPr>
        <w:t xml:space="preserve">-comparative study </w:t>
      </w:r>
    </w:p>
    <w:p w:rsidR="009C782E" w:rsidRPr="007F5FBD" w:rsidRDefault="009C782E" w:rsidP="009C782E">
      <w:pPr>
        <w:spacing w:line="360" w:lineRule="auto"/>
        <w:jc w:val="both"/>
        <w:rPr>
          <w:rFonts w:asciiTheme="majorHAnsi" w:hAnsiTheme="majorHAnsi"/>
          <w:b/>
          <w:sz w:val="18"/>
          <w:szCs w:val="18"/>
          <w:vertAlign w:val="superscript"/>
        </w:rPr>
      </w:pPr>
      <w:proofErr w:type="spellStart"/>
      <w:r w:rsidRPr="007F5FBD">
        <w:rPr>
          <w:rFonts w:asciiTheme="majorHAnsi" w:hAnsiTheme="majorHAnsi"/>
          <w:b/>
          <w:sz w:val="18"/>
          <w:szCs w:val="18"/>
        </w:rPr>
        <w:t>Dr.V.Sai</w:t>
      </w:r>
      <w:proofErr w:type="spellEnd"/>
      <w:r w:rsidRPr="007F5FBD">
        <w:rPr>
          <w:rFonts w:asciiTheme="majorHAnsi" w:hAnsiTheme="majorHAnsi"/>
          <w:b/>
          <w:sz w:val="18"/>
          <w:szCs w:val="18"/>
        </w:rPr>
        <w:t xml:space="preserve"> Dilip</w:t>
      </w:r>
      <w:r w:rsidRPr="007F5FBD">
        <w:rPr>
          <w:rFonts w:asciiTheme="majorHAnsi" w:hAnsiTheme="majorHAnsi"/>
          <w:b/>
          <w:sz w:val="18"/>
          <w:szCs w:val="18"/>
          <w:vertAlign w:val="superscript"/>
        </w:rPr>
        <w:t>1</w:t>
      </w:r>
      <w:r w:rsidRPr="007F5FBD">
        <w:rPr>
          <w:rFonts w:asciiTheme="majorHAnsi" w:hAnsiTheme="majorHAnsi"/>
          <w:b/>
          <w:sz w:val="18"/>
          <w:szCs w:val="18"/>
        </w:rPr>
        <w:t xml:space="preserve">, </w:t>
      </w:r>
      <w:proofErr w:type="spellStart"/>
      <w:r w:rsidRPr="007F5FBD">
        <w:rPr>
          <w:rFonts w:asciiTheme="majorHAnsi" w:hAnsiTheme="majorHAnsi"/>
          <w:b/>
          <w:sz w:val="18"/>
          <w:szCs w:val="18"/>
        </w:rPr>
        <w:t>Dr.G.Chandra</w:t>
      </w:r>
      <w:proofErr w:type="spellEnd"/>
      <w:r w:rsidRPr="007F5FBD">
        <w:rPr>
          <w:rFonts w:asciiTheme="majorHAnsi" w:hAnsiTheme="majorHAnsi"/>
          <w:b/>
          <w:sz w:val="18"/>
          <w:szCs w:val="18"/>
        </w:rPr>
        <w:t xml:space="preserve"> Sekhar</w:t>
      </w:r>
      <w:r w:rsidRPr="007F5FBD">
        <w:rPr>
          <w:rFonts w:asciiTheme="majorHAnsi" w:hAnsiTheme="majorHAnsi"/>
          <w:b/>
          <w:sz w:val="18"/>
          <w:szCs w:val="18"/>
          <w:vertAlign w:val="superscript"/>
        </w:rPr>
        <w:t>1</w:t>
      </w:r>
      <w:r w:rsidRPr="007F5FBD">
        <w:rPr>
          <w:rFonts w:asciiTheme="majorHAnsi" w:hAnsiTheme="majorHAnsi"/>
          <w:b/>
          <w:sz w:val="18"/>
          <w:szCs w:val="18"/>
        </w:rPr>
        <w:t xml:space="preserve">, </w:t>
      </w:r>
      <w:proofErr w:type="spellStart"/>
      <w:r w:rsidRPr="007F5FBD">
        <w:rPr>
          <w:rFonts w:asciiTheme="majorHAnsi" w:hAnsiTheme="majorHAnsi"/>
          <w:b/>
          <w:sz w:val="18"/>
          <w:szCs w:val="18"/>
        </w:rPr>
        <w:t>Dr.Gopala</w:t>
      </w:r>
      <w:proofErr w:type="spellEnd"/>
      <w:r w:rsidRPr="007F5FBD">
        <w:rPr>
          <w:rFonts w:asciiTheme="majorHAnsi" w:hAnsiTheme="majorHAnsi"/>
          <w:b/>
          <w:sz w:val="18"/>
          <w:szCs w:val="18"/>
        </w:rPr>
        <w:t xml:space="preserve"> Krishna Murthy</w:t>
      </w:r>
      <w:r w:rsidRPr="007F5FBD">
        <w:rPr>
          <w:rFonts w:asciiTheme="majorHAnsi" w:hAnsiTheme="majorHAnsi"/>
          <w:b/>
          <w:sz w:val="18"/>
          <w:szCs w:val="18"/>
          <w:vertAlign w:val="superscript"/>
        </w:rPr>
        <w:t>1</w:t>
      </w:r>
      <w:r w:rsidRPr="007F5FBD">
        <w:rPr>
          <w:rFonts w:asciiTheme="majorHAnsi" w:hAnsiTheme="majorHAnsi"/>
          <w:b/>
          <w:sz w:val="18"/>
          <w:szCs w:val="18"/>
        </w:rPr>
        <w:t xml:space="preserve">, </w:t>
      </w:r>
      <w:proofErr w:type="spellStart"/>
      <w:r w:rsidRPr="007F5FBD">
        <w:rPr>
          <w:rFonts w:asciiTheme="majorHAnsi" w:hAnsiTheme="majorHAnsi"/>
          <w:b/>
          <w:sz w:val="18"/>
          <w:szCs w:val="18"/>
        </w:rPr>
        <w:t>Dr.A.S.Kameswara</w:t>
      </w:r>
      <w:proofErr w:type="spellEnd"/>
      <w:r w:rsidRPr="007F5FBD">
        <w:rPr>
          <w:rFonts w:asciiTheme="majorHAnsi" w:hAnsiTheme="majorHAnsi"/>
          <w:b/>
          <w:sz w:val="18"/>
          <w:szCs w:val="18"/>
        </w:rPr>
        <w:t xml:space="preserve"> Rao</w:t>
      </w:r>
      <w:r w:rsidRPr="007F5FBD">
        <w:rPr>
          <w:rFonts w:asciiTheme="majorHAnsi" w:hAnsiTheme="majorHAnsi"/>
          <w:b/>
          <w:sz w:val="18"/>
          <w:szCs w:val="18"/>
          <w:vertAlign w:val="superscript"/>
        </w:rPr>
        <w:t>1</w:t>
      </w:r>
      <w:r w:rsidRPr="007F5FBD">
        <w:rPr>
          <w:rFonts w:asciiTheme="majorHAnsi" w:hAnsiTheme="majorHAnsi"/>
          <w:b/>
          <w:sz w:val="18"/>
          <w:szCs w:val="18"/>
        </w:rPr>
        <w:t>, Dr.K.Sivaji</w:t>
      </w:r>
      <w:r w:rsidRPr="007F5FBD">
        <w:rPr>
          <w:rFonts w:asciiTheme="majorHAnsi" w:hAnsiTheme="majorHAnsi"/>
          <w:b/>
          <w:sz w:val="18"/>
          <w:szCs w:val="18"/>
          <w:vertAlign w:val="superscript"/>
        </w:rPr>
        <w:t>1</w:t>
      </w:r>
      <w:r w:rsidRPr="007F5FBD">
        <w:rPr>
          <w:rFonts w:asciiTheme="majorHAnsi" w:hAnsiTheme="majorHAnsi"/>
          <w:b/>
          <w:sz w:val="18"/>
          <w:szCs w:val="18"/>
        </w:rPr>
        <w:t>,</w:t>
      </w:r>
      <w:r w:rsidRPr="007F5FBD">
        <w:rPr>
          <w:rFonts w:asciiTheme="majorHAnsi" w:hAnsiTheme="majorHAnsi"/>
          <w:b/>
          <w:sz w:val="18"/>
          <w:szCs w:val="18"/>
          <w:vertAlign w:val="superscript"/>
        </w:rPr>
        <w:t xml:space="preserve">      </w:t>
      </w:r>
      <w:r w:rsidRPr="007F5FBD">
        <w:rPr>
          <w:rFonts w:asciiTheme="majorHAnsi" w:hAnsiTheme="majorHAnsi"/>
          <w:b/>
          <w:sz w:val="18"/>
          <w:szCs w:val="18"/>
        </w:rPr>
        <w:t>Dr.G.V.Benerji</w:t>
      </w:r>
      <w:r w:rsidRPr="007F5FBD">
        <w:rPr>
          <w:rFonts w:asciiTheme="majorHAnsi" w:hAnsiTheme="majorHAnsi"/>
          <w:b/>
          <w:sz w:val="18"/>
          <w:szCs w:val="18"/>
          <w:vertAlign w:val="superscript"/>
        </w:rPr>
        <w:t>1</w:t>
      </w:r>
    </w:p>
    <w:p w:rsidR="009C782E" w:rsidRPr="007F5FBD" w:rsidRDefault="009C782E" w:rsidP="009C782E">
      <w:pPr>
        <w:spacing w:line="360" w:lineRule="auto"/>
        <w:jc w:val="both"/>
        <w:rPr>
          <w:rFonts w:asciiTheme="majorHAnsi" w:hAnsiTheme="majorHAnsi"/>
          <w:b/>
          <w:sz w:val="20"/>
          <w:szCs w:val="20"/>
          <w:vertAlign w:val="superscript"/>
        </w:rPr>
      </w:pPr>
    </w:p>
    <w:p w:rsidR="009C782E" w:rsidRPr="007F5FBD" w:rsidRDefault="009C782E" w:rsidP="009C782E">
      <w:pPr>
        <w:tabs>
          <w:tab w:val="left" w:pos="1080"/>
        </w:tabs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7F5FBD">
        <w:rPr>
          <w:rFonts w:asciiTheme="majorHAnsi" w:hAnsiTheme="majorHAnsi"/>
          <w:sz w:val="18"/>
          <w:szCs w:val="18"/>
        </w:rPr>
        <w:t xml:space="preserve">1. Post </w:t>
      </w:r>
      <w:proofErr w:type="gramStart"/>
      <w:r w:rsidRPr="007F5FBD">
        <w:rPr>
          <w:rFonts w:asciiTheme="majorHAnsi" w:hAnsiTheme="majorHAnsi"/>
          <w:sz w:val="18"/>
          <w:szCs w:val="18"/>
        </w:rPr>
        <w:t>Graduate  in</w:t>
      </w:r>
      <w:proofErr w:type="gramEnd"/>
      <w:r w:rsidRPr="007F5FBD">
        <w:rPr>
          <w:rFonts w:asciiTheme="majorHAnsi" w:hAnsiTheme="majorHAnsi"/>
          <w:sz w:val="18"/>
          <w:szCs w:val="18"/>
        </w:rPr>
        <w:t xml:space="preserve"> Anesthesiology in KIMS&amp;RF, </w:t>
      </w:r>
      <w:proofErr w:type="spellStart"/>
      <w:r w:rsidRPr="007F5FBD">
        <w:rPr>
          <w:rFonts w:asciiTheme="majorHAnsi" w:hAnsiTheme="majorHAnsi"/>
          <w:sz w:val="18"/>
          <w:szCs w:val="18"/>
        </w:rPr>
        <w:t>Amalapuram</w:t>
      </w:r>
      <w:proofErr w:type="spellEnd"/>
      <w:r w:rsidRPr="007F5FBD">
        <w:rPr>
          <w:rFonts w:asciiTheme="majorHAnsi" w:hAnsiTheme="majorHAnsi"/>
          <w:sz w:val="18"/>
          <w:szCs w:val="18"/>
        </w:rPr>
        <w:t xml:space="preserve"> ,A.P</w:t>
      </w:r>
    </w:p>
    <w:p w:rsidR="009C782E" w:rsidRPr="007F5FBD" w:rsidRDefault="009C782E" w:rsidP="009C782E">
      <w:pPr>
        <w:tabs>
          <w:tab w:val="left" w:pos="1080"/>
        </w:tabs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7F5FBD">
        <w:rPr>
          <w:rFonts w:asciiTheme="majorHAnsi" w:hAnsiTheme="majorHAnsi"/>
          <w:sz w:val="18"/>
          <w:szCs w:val="18"/>
        </w:rPr>
        <w:t xml:space="preserve">2. Post </w:t>
      </w:r>
      <w:proofErr w:type="gramStart"/>
      <w:r w:rsidRPr="007F5FBD">
        <w:rPr>
          <w:rFonts w:asciiTheme="majorHAnsi" w:hAnsiTheme="majorHAnsi"/>
          <w:sz w:val="18"/>
          <w:szCs w:val="18"/>
        </w:rPr>
        <w:t>Graduate  in</w:t>
      </w:r>
      <w:proofErr w:type="gramEnd"/>
      <w:r w:rsidRPr="007F5FBD">
        <w:rPr>
          <w:rFonts w:asciiTheme="majorHAnsi" w:hAnsiTheme="majorHAnsi"/>
          <w:sz w:val="18"/>
          <w:szCs w:val="18"/>
        </w:rPr>
        <w:t xml:space="preserve"> Anesthesiology in KIMS&amp;RF, </w:t>
      </w:r>
      <w:proofErr w:type="spellStart"/>
      <w:r w:rsidRPr="007F5FBD">
        <w:rPr>
          <w:rFonts w:asciiTheme="majorHAnsi" w:hAnsiTheme="majorHAnsi"/>
          <w:sz w:val="18"/>
          <w:szCs w:val="18"/>
        </w:rPr>
        <w:t>Amalapuram</w:t>
      </w:r>
      <w:proofErr w:type="spellEnd"/>
      <w:r w:rsidRPr="007F5FBD">
        <w:rPr>
          <w:rFonts w:asciiTheme="majorHAnsi" w:hAnsiTheme="majorHAnsi"/>
          <w:sz w:val="18"/>
          <w:szCs w:val="18"/>
        </w:rPr>
        <w:t xml:space="preserve"> ,A.P</w:t>
      </w:r>
    </w:p>
    <w:p w:rsidR="009C782E" w:rsidRPr="007F5FBD" w:rsidRDefault="009C782E" w:rsidP="009C782E">
      <w:pPr>
        <w:tabs>
          <w:tab w:val="left" w:pos="1080"/>
        </w:tabs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7F5FBD">
        <w:rPr>
          <w:rFonts w:asciiTheme="majorHAnsi" w:hAnsiTheme="majorHAnsi"/>
          <w:sz w:val="18"/>
          <w:szCs w:val="18"/>
        </w:rPr>
        <w:t xml:space="preserve">3. Professor &amp; Head, Department of </w:t>
      </w:r>
      <w:proofErr w:type="spellStart"/>
      <w:r w:rsidRPr="007F5FBD">
        <w:rPr>
          <w:rFonts w:asciiTheme="majorHAnsi" w:hAnsiTheme="majorHAnsi"/>
          <w:sz w:val="18"/>
          <w:szCs w:val="18"/>
        </w:rPr>
        <w:t>Anesthesia</w:t>
      </w:r>
      <w:proofErr w:type="gramStart"/>
      <w:r w:rsidRPr="007F5FBD">
        <w:rPr>
          <w:rFonts w:asciiTheme="majorHAnsi" w:hAnsiTheme="majorHAnsi"/>
          <w:sz w:val="18"/>
          <w:szCs w:val="18"/>
        </w:rPr>
        <w:t>,KIMS</w:t>
      </w:r>
      <w:proofErr w:type="spellEnd"/>
      <w:proofErr w:type="gramEnd"/>
      <w:r w:rsidRPr="007F5FBD">
        <w:rPr>
          <w:rFonts w:asciiTheme="majorHAnsi" w:hAnsiTheme="majorHAnsi"/>
          <w:sz w:val="18"/>
          <w:szCs w:val="18"/>
        </w:rPr>
        <w:t xml:space="preserve"> &amp;</w:t>
      </w:r>
      <w:proofErr w:type="spellStart"/>
      <w:r w:rsidRPr="007F5FBD">
        <w:rPr>
          <w:rFonts w:asciiTheme="majorHAnsi" w:hAnsiTheme="majorHAnsi"/>
          <w:sz w:val="18"/>
          <w:szCs w:val="18"/>
        </w:rPr>
        <w:t>RF,Amalapuram,A.P</w:t>
      </w:r>
      <w:proofErr w:type="spellEnd"/>
    </w:p>
    <w:p w:rsidR="009C782E" w:rsidRPr="007F5FBD" w:rsidRDefault="009C782E" w:rsidP="009C782E">
      <w:pPr>
        <w:tabs>
          <w:tab w:val="left" w:pos="1080"/>
        </w:tabs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7F5FBD">
        <w:rPr>
          <w:rFonts w:asciiTheme="majorHAnsi" w:hAnsiTheme="majorHAnsi"/>
          <w:sz w:val="18"/>
          <w:szCs w:val="18"/>
        </w:rPr>
        <w:t xml:space="preserve">4. Dean &amp; Professor, Department of </w:t>
      </w:r>
      <w:proofErr w:type="spellStart"/>
      <w:r w:rsidRPr="007F5FBD">
        <w:rPr>
          <w:rFonts w:asciiTheme="majorHAnsi" w:hAnsiTheme="majorHAnsi"/>
          <w:sz w:val="18"/>
          <w:szCs w:val="18"/>
        </w:rPr>
        <w:t>Anesthesia</w:t>
      </w:r>
      <w:proofErr w:type="gramStart"/>
      <w:r w:rsidRPr="007F5FBD">
        <w:rPr>
          <w:rFonts w:asciiTheme="majorHAnsi" w:hAnsiTheme="majorHAnsi"/>
          <w:sz w:val="18"/>
          <w:szCs w:val="18"/>
        </w:rPr>
        <w:t>,KIMS</w:t>
      </w:r>
      <w:proofErr w:type="spellEnd"/>
      <w:proofErr w:type="gramEnd"/>
      <w:r w:rsidRPr="007F5FBD">
        <w:rPr>
          <w:rFonts w:asciiTheme="majorHAnsi" w:hAnsiTheme="majorHAnsi"/>
          <w:sz w:val="18"/>
          <w:szCs w:val="18"/>
        </w:rPr>
        <w:t xml:space="preserve"> &amp;</w:t>
      </w:r>
      <w:proofErr w:type="spellStart"/>
      <w:r w:rsidRPr="007F5FBD">
        <w:rPr>
          <w:rFonts w:asciiTheme="majorHAnsi" w:hAnsiTheme="majorHAnsi"/>
          <w:sz w:val="18"/>
          <w:szCs w:val="18"/>
        </w:rPr>
        <w:t>RF,Amalapuram,A.P</w:t>
      </w:r>
      <w:proofErr w:type="spellEnd"/>
    </w:p>
    <w:p w:rsidR="009C782E" w:rsidRPr="007F5FBD" w:rsidRDefault="009C782E" w:rsidP="009C782E">
      <w:pPr>
        <w:tabs>
          <w:tab w:val="left" w:pos="1080"/>
        </w:tabs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7F5FBD">
        <w:rPr>
          <w:rFonts w:asciiTheme="majorHAnsi" w:hAnsiTheme="majorHAnsi"/>
          <w:sz w:val="18"/>
          <w:szCs w:val="18"/>
        </w:rPr>
        <w:t xml:space="preserve">5. Associate </w:t>
      </w:r>
      <w:proofErr w:type="spellStart"/>
      <w:r w:rsidRPr="007F5FBD">
        <w:rPr>
          <w:rFonts w:asciiTheme="majorHAnsi" w:hAnsiTheme="majorHAnsi"/>
          <w:sz w:val="18"/>
          <w:szCs w:val="18"/>
        </w:rPr>
        <w:t>Professor</w:t>
      </w:r>
      <w:proofErr w:type="gramStart"/>
      <w:r w:rsidRPr="007F5FBD">
        <w:rPr>
          <w:rFonts w:asciiTheme="majorHAnsi" w:hAnsiTheme="majorHAnsi"/>
          <w:sz w:val="18"/>
          <w:szCs w:val="18"/>
        </w:rPr>
        <w:t>,Department</w:t>
      </w:r>
      <w:proofErr w:type="spellEnd"/>
      <w:proofErr w:type="gramEnd"/>
      <w:r w:rsidRPr="007F5FBD">
        <w:rPr>
          <w:rFonts w:asciiTheme="majorHAnsi" w:hAnsiTheme="majorHAnsi"/>
          <w:sz w:val="18"/>
          <w:szCs w:val="18"/>
        </w:rPr>
        <w:t xml:space="preserve"> of  </w:t>
      </w:r>
      <w:proofErr w:type="spellStart"/>
      <w:r w:rsidRPr="007F5FBD">
        <w:rPr>
          <w:rFonts w:asciiTheme="majorHAnsi" w:hAnsiTheme="majorHAnsi"/>
          <w:sz w:val="18"/>
          <w:szCs w:val="18"/>
        </w:rPr>
        <w:t>Pharmacology,G.S.L</w:t>
      </w:r>
      <w:proofErr w:type="spellEnd"/>
      <w:r w:rsidRPr="007F5FBD">
        <w:rPr>
          <w:rFonts w:asciiTheme="majorHAnsi" w:hAnsiTheme="majorHAnsi"/>
          <w:sz w:val="18"/>
          <w:szCs w:val="18"/>
        </w:rPr>
        <w:t xml:space="preserve"> Medical  </w:t>
      </w:r>
      <w:proofErr w:type="spellStart"/>
      <w:r w:rsidRPr="007F5FBD">
        <w:rPr>
          <w:rFonts w:asciiTheme="majorHAnsi" w:hAnsiTheme="majorHAnsi"/>
          <w:sz w:val="18"/>
          <w:szCs w:val="18"/>
        </w:rPr>
        <w:t>Colege</w:t>
      </w:r>
      <w:proofErr w:type="spellEnd"/>
      <w:r w:rsidRPr="007F5FB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7F5FBD">
        <w:rPr>
          <w:rFonts w:asciiTheme="majorHAnsi" w:hAnsiTheme="majorHAnsi"/>
          <w:sz w:val="18"/>
          <w:szCs w:val="18"/>
        </w:rPr>
        <w:t>Rajahmundry,A.P</w:t>
      </w:r>
      <w:proofErr w:type="spellEnd"/>
    </w:p>
    <w:p w:rsidR="009C782E" w:rsidRPr="007F5FBD" w:rsidRDefault="009C782E" w:rsidP="009C782E">
      <w:pPr>
        <w:pBdr>
          <w:bottom w:val="single" w:sz="6" w:space="1" w:color="auto"/>
        </w:pBdr>
        <w:tabs>
          <w:tab w:val="left" w:pos="1080"/>
        </w:tabs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7F5FBD">
        <w:rPr>
          <w:rFonts w:asciiTheme="majorHAnsi" w:hAnsiTheme="majorHAnsi"/>
          <w:sz w:val="18"/>
          <w:szCs w:val="18"/>
        </w:rPr>
        <w:t xml:space="preserve">6. Professor &amp; </w:t>
      </w:r>
      <w:proofErr w:type="gramStart"/>
      <w:r w:rsidRPr="007F5FBD">
        <w:rPr>
          <w:rFonts w:asciiTheme="majorHAnsi" w:hAnsiTheme="majorHAnsi"/>
          <w:sz w:val="18"/>
          <w:szCs w:val="18"/>
        </w:rPr>
        <w:t>Head ,</w:t>
      </w:r>
      <w:proofErr w:type="gramEnd"/>
      <w:r w:rsidRPr="007F5FBD">
        <w:rPr>
          <w:rFonts w:asciiTheme="majorHAnsi" w:hAnsiTheme="majorHAnsi"/>
          <w:sz w:val="18"/>
          <w:szCs w:val="18"/>
        </w:rPr>
        <w:t xml:space="preserve"> Department of  Biochemistry ,KIMS &amp;</w:t>
      </w:r>
      <w:proofErr w:type="spellStart"/>
      <w:r w:rsidRPr="007F5FBD">
        <w:rPr>
          <w:rFonts w:asciiTheme="majorHAnsi" w:hAnsiTheme="majorHAnsi"/>
          <w:sz w:val="18"/>
          <w:szCs w:val="18"/>
        </w:rPr>
        <w:t>RF,Amalapuram,A.P</w:t>
      </w:r>
      <w:proofErr w:type="spellEnd"/>
    </w:p>
    <w:p w:rsidR="009C782E" w:rsidRPr="007F5FBD" w:rsidRDefault="009C782E" w:rsidP="009C782E">
      <w:pPr>
        <w:pBdr>
          <w:bottom w:val="single" w:sz="6" w:space="1" w:color="auto"/>
        </w:pBdr>
        <w:tabs>
          <w:tab w:val="left" w:pos="1080"/>
        </w:tabs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7F5FBD">
        <w:rPr>
          <w:rFonts w:asciiTheme="majorHAnsi" w:hAnsiTheme="majorHAnsi"/>
          <w:sz w:val="18"/>
          <w:szCs w:val="18"/>
        </w:rPr>
        <w:t xml:space="preserve">Corresponding </w:t>
      </w:r>
      <w:proofErr w:type="gramStart"/>
      <w:r w:rsidRPr="007F5FBD">
        <w:rPr>
          <w:rFonts w:asciiTheme="majorHAnsi" w:hAnsiTheme="majorHAnsi"/>
          <w:sz w:val="18"/>
          <w:szCs w:val="18"/>
        </w:rPr>
        <w:t>author :</w:t>
      </w:r>
      <w:proofErr w:type="gramEnd"/>
      <w:r w:rsidRPr="007F5FBD">
        <w:rPr>
          <w:rFonts w:asciiTheme="majorHAnsi" w:hAnsiTheme="majorHAnsi"/>
          <w:sz w:val="18"/>
          <w:szCs w:val="18"/>
        </w:rPr>
        <w:t xml:space="preserve"> Dr </w:t>
      </w:r>
      <w:proofErr w:type="spellStart"/>
      <w:r w:rsidRPr="007F5FBD">
        <w:rPr>
          <w:rFonts w:asciiTheme="majorHAnsi" w:hAnsiTheme="majorHAnsi"/>
          <w:sz w:val="18"/>
          <w:szCs w:val="18"/>
        </w:rPr>
        <w:t>G.V.Benerji</w:t>
      </w:r>
      <w:proofErr w:type="spellEnd"/>
      <w:r w:rsidRPr="007F5FBD">
        <w:rPr>
          <w:rFonts w:asciiTheme="majorHAnsi" w:hAnsiTheme="majorHAnsi"/>
          <w:sz w:val="18"/>
          <w:szCs w:val="18"/>
        </w:rPr>
        <w:t xml:space="preserve"> </w:t>
      </w:r>
    </w:p>
    <w:p w:rsidR="009C782E" w:rsidRDefault="009C782E" w:rsidP="009C782E">
      <w:pPr>
        <w:spacing w:line="360" w:lineRule="auto"/>
        <w:jc w:val="both"/>
        <w:rPr>
          <w:sz w:val="20"/>
          <w:szCs w:val="20"/>
        </w:rPr>
      </w:pPr>
    </w:p>
    <w:p w:rsidR="009C782E" w:rsidRPr="007F5FBD" w:rsidRDefault="009C782E" w:rsidP="009C782E">
      <w:pPr>
        <w:spacing w:line="360" w:lineRule="auto"/>
        <w:jc w:val="both"/>
        <w:rPr>
          <w:b/>
          <w:sz w:val="20"/>
          <w:szCs w:val="20"/>
        </w:rPr>
      </w:pPr>
      <w:r w:rsidRPr="007F5FBD">
        <w:rPr>
          <w:b/>
          <w:sz w:val="20"/>
          <w:szCs w:val="20"/>
        </w:rPr>
        <w:t>Abstract:</w:t>
      </w:r>
    </w:p>
    <w:p w:rsidR="009C782E" w:rsidRPr="007F5FBD" w:rsidRDefault="009C782E" w:rsidP="009C782E">
      <w:pPr>
        <w:pBdr>
          <w:bottom w:val="single" w:sz="6" w:space="1" w:color="auto"/>
        </w:pBdr>
        <w:spacing w:line="360" w:lineRule="auto"/>
        <w:jc w:val="both"/>
        <w:rPr>
          <w:sz w:val="18"/>
          <w:szCs w:val="18"/>
        </w:rPr>
      </w:pPr>
      <w:r w:rsidRPr="007F5FBD">
        <w:rPr>
          <w:sz w:val="18"/>
          <w:szCs w:val="18"/>
        </w:rPr>
        <w:t xml:space="preserve">Two stereo </w:t>
      </w:r>
      <w:proofErr w:type="spellStart"/>
      <w:r w:rsidRPr="007F5FBD">
        <w:rPr>
          <w:sz w:val="18"/>
          <w:szCs w:val="18"/>
        </w:rPr>
        <w:t>enantiomers-Dextrobupivacaine</w:t>
      </w:r>
      <w:proofErr w:type="spellEnd"/>
      <w:r w:rsidRPr="007F5FBD">
        <w:rPr>
          <w:sz w:val="18"/>
          <w:szCs w:val="18"/>
        </w:rPr>
        <w:t xml:space="preserve"> and </w:t>
      </w:r>
      <w:proofErr w:type="spellStart"/>
      <w:r w:rsidRPr="007F5FBD">
        <w:rPr>
          <w:sz w:val="18"/>
          <w:szCs w:val="18"/>
        </w:rPr>
        <w:t>Levobupivacaine</w:t>
      </w:r>
      <w:proofErr w:type="spellEnd"/>
      <w:r w:rsidRPr="007F5FBD">
        <w:rPr>
          <w:sz w:val="18"/>
          <w:szCs w:val="18"/>
        </w:rPr>
        <w:t xml:space="preserve"> forms of </w:t>
      </w:r>
      <w:proofErr w:type="spellStart"/>
      <w:r w:rsidRPr="007F5FBD">
        <w:rPr>
          <w:sz w:val="18"/>
          <w:szCs w:val="18"/>
        </w:rPr>
        <w:t>bupivacaine</w:t>
      </w:r>
      <w:proofErr w:type="spellEnd"/>
      <w:r w:rsidRPr="007F5FBD">
        <w:rPr>
          <w:sz w:val="18"/>
          <w:szCs w:val="18"/>
        </w:rPr>
        <w:t xml:space="preserve"> </w:t>
      </w:r>
      <w:proofErr w:type="spellStart"/>
      <w:r w:rsidRPr="007F5FBD">
        <w:rPr>
          <w:sz w:val="18"/>
          <w:szCs w:val="18"/>
        </w:rPr>
        <w:t>combindly</w:t>
      </w:r>
      <w:proofErr w:type="spellEnd"/>
      <w:r w:rsidRPr="007F5FBD">
        <w:rPr>
          <w:sz w:val="18"/>
          <w:szCs w:val="18"/>
        </w:rPr>
        <w:t xml:space="preserve"> called as </w:t>
      </w:r>
      <w:proofErr w:type="spellStart"/>
      <w:r w:rsidRPr="007F5FBD">
        <w:rPr>
          <w:sz w:val="18"/>
          <w:szCs w:val="18"/>
        </w:rPr>
        <w:t>bupivacaine</w:t>
      </w:r>
      <w:proofErr w:type="spellEnd"/>
      <w:r w:rsidRPr="007F5FBD">
        <w:rPr>
          <w:sz w:val="18"/>
          <w:szCs w:val="18"/>
        </w:rPr>
        <w:t xml:space="preserve"> which is commonly used for </w:t>
      </w:r>
      <w:proofErr w:type="spellStart"/>
      <w:r w:rsidRPr="007F5FBD">
        <w:rPr>
          <w:sz w:val="18"/>
          <w:szCs w:val="18"/>
        </w:rPr>
        <w:t>supraclavicular</w:t>
      </w:r>
      <w:proofErr w:type="spellEnd"/>
      <w:r w:rsidRPr="007F5FBD">
        <w:rPr>
          <w:sz w:val="18"/>
          <w:szCs w:val="18"/>
        </w:rPr>
        <w:t xml:space="preserve"> block.  As it got long duration of action it is come this side effects </w:t>
      </w:r>
      <w:proofErr w:type="spellStart"/>
      <w:r w:rsidRPr="007F5FBD">
        <w:rPr>
          <w:sz w:val="18"/>
          <w:szCs w:val="18"/>
        </w:rPr>
        <w:t>ropivacaine</w:t>
      </w:r>
      <w:proofErr w:type="spellEnd"/>
      <w:r w:rsidRPr="007F5FBD">
        <w:rPr>
          <w:sz w:val="18"/>
          <w:szCs w:val="18"/>
        </w:rPr>
        <w:t xml:space="preserve"> in the place </w:t>
      </w:r>
      <w:proofErr w:type="gramStart"/>
      <w:r w:rsidRPr="007F5FBD">
        <w:rPr>
          <w:sz w:val="18"/>
          <w:szCs w:val="18"/>
        </w:rPr>
        <w:t>of  bupivacaine</w:t>
      </w:r>
      <w:r w:rsidRPr="007F5FBD">
        <w:rPr>
          <w:sz w:val="18"/>
          <w:szCs w:val="18"/>
          <w:vertAlign w:val="superscript"/>
        </w:rPr>
        <w:t>1</w:t>
      </w:r>
      <w:proofErr w:type="gramEnd"/>
      <w:r w:rsidRPr="007F5FBD">
        <w:rPr>
          <w:sz w:val="18"/>
          <w:szCs w:val="18"/>
        </w:rPr>
        <w:t xml:space="preserve"> is useful.  </w:t>
      </w:r>
      <w:proofErr w:type="spellStart"/>
      <w:r w:rsidRPr="007F5FBD">
        <w:rPr>
          <w:sz w:val="18"/>
          <w:szCs w:val="18"/>
        </w:rPr>
        <w:t>Levobupivacaine</w:t>
      </w:r>
      <w:proofErr w:type="spellEnd"/>
      <w:r w:rsidRPr="007F5FBD">
        <w:rPr>
          <w:sz w:val="18"/>
          <w:szCs w:val="18"/>
        </w:rPr>
        <w:t xml:space="preserve"> is another drug for epidural and brachial </w:t>
      </w:r>
      <w:proofErr w:type="spellStart"/>
      <w:r w:rsidRPr="007F5FBD">
        <w:rPr>
          <w:sz w:val="18"/>
          <w:szCs w:val="18"/>
        </w:rPr>
        <w:t>plexes</w:t>
      </w:r>
      <w:proofErr w:type="spellEnd"/>
      <w:r w:rsidRPr="007F5FBD">
        <w:rPr>
          <w:sz w:val="18"/>
          <w:szCs w:val="18"/>
        </w:rPr>
        <w:t xml:space="preserve"> blocks.  This comparative study between </w:t>
      </w:r>
      <w:proofErr w:type="spellStart"/>
      <w:r w:rsidRPr="007F5FBD">
        <w:rPr>
          <w:sz w:val="18"/>
          <w:szCs w:val="18"/>
        </w:rPr>
        <w:t>levobupivacaine</w:t>
      </w:r>
      <w:proofErr w:type="spellEnd"/>
      <w:r w:rsidRPr="007F5FBD">
        <w:rPr>
          <w:sz w:val="18"/>
          <w:szCs w:val="18"/>
        </w:rPr>
        <w:t xml:space="preserve"> and </w:t>
      </w:r>
      <w:proofErr w:type="spellStart"/>
      <w:r w:rsidRPr="007F5FBD">
        <w:rPr>
          <w:sz w:val="18"/>
          <w:szCs w:val="18"/>
        </w:rPr>
        <w:t>ropivacaine</w:t>
      </w:r>
      <w:proofErr w:type="spellEnd"/>
      <w:r w:rsidRPr="007F5FBD">
        <w:rPr>
          <w:sz w:val="18"/>
          <w:szCs w:val="18"/>
        </w:rPr>
        <w:t xml:space="preserve"> is taken to know its onset and duration of sensory and motor </w:t>
      </w:r>
      <w:proofErr w:type="spellStart"/>
      <w:r w:rsidRPr="007F5FBD">
        <w:rPr>
          <w:sz w:val="18"/>
          <w:szCs w:val="18"/>
        </w:rPr>
        <w:t>block.Comparative</w:t>
      </w:r>
      <w:proofErr w:type="spellEnd"/>
      <w:r w:rsidRPr="007F5FBD">
        <w:rPr>
          <w:sz w:val="18"/>
          <w:szCs w:val="18"/>
        </w:rPr>
        <w:t xml:space="preserve"> study between 0.5% </w:t>
      </w:r>
      <w:proofErr w:type="spellStart"/>
      <w:r w:rsidRPr="007F5FBD">
        <w:rPr>
          <w:sz w:val="18"/>
          <w:szCs w:val="18"/>
        </w:rPr>
        <w:t>levobupivacaine</w:t>
      </w:r>
      <w:proofErr w:type="spellEnd"/>
      <w:r w:rsidRPr="007F5FBD">
        <w:rPr>
          <w:sz w:val="18"/>
          <w:szCs w:val="18"/>
        </w:rPr>
        <w:t xml:space="preserve"> and 0.5% </w:t>
      </w:r>
      <w:proofErr w:type="spellStart"/>
      <w:r w:rsidRPr="007F5FBD">
        <w:rPr>
          <w:sz w:val="18"/>
          <w:szCs w:val="18"/>
        </w:rPr>
        <w:t>ropivacaine</w:t>
      </w:r>
      <w:proofErr w:type="spellEnd"/>
      <w:r w:rsidRPr="007F5FBD">
        <w:rPr>
          <w:sz w:val="18"/>
          <w:szCs w:val="18"/>
        </w:rPr>
        <w:t xml:space="preserve"> is taken to know its onset and duration of sensory and motor blocked in </w:t>
      </w:r>
      <w:proofErr w:type="gramStart"/>
      <w:r w:rsidRPr="007F5FBD">
        <w:rPr>
          <w:sz w:val="18"/>
          <w:szCs w:val="18"/>
        </w:rPr>
        <w:t>upper</w:t>
      </w:r>
      <w:proofErr w:type="gramEnd"/>
      <w:r w:rsidRPr="007F5FBD">
        <w:rPr>
          <w:sz w:val="18"/>
          <w:szCs w:val="18"/>
        </w:rPr>
        <w:t xml:space="preserve"> limb surgeries with </w:t>
      </w:r>
      <w:proofErr w:type="spellStart"/>
      <w:r w:rsidRPr="007F5FBD">
        <w:rPr>
          <w:sz w:val="18"/>
          <w:szCs w:val="18"/>
        </w:rPr>
        <w:t>supraclavicular</w:t>
      </w:r>
      <w:proofErr w:type="spellEnd"/>
      <w:r w:rsidRPr="007F5FBD">
        <w:rPr>
          <w:sz w:val="18"/>
          <w:szCs w:val="18"/>
        </w:rPr>
        <w:t xml:space="preserve"> brachial </w:t>
      </w:r>
      <w:proofErr w:type="spellStart"/>
      <w:r w:rsidRPr="007F5FBD">
        <w:rPr>
          <w:sz w:val="18"/>
          <w:szCs w:val="18"/>
        </w:rPr>
        <w:t>plexes</w:t>
      </w:r>
      <w:proofErr w:type="spellEnd"/>
      <w:r w:rsidRPr="007F5FBD">
        <w:rPr>
          <w:sz w:val="18"/>
          <w:szCs w:val="18"/>
        </w:rPr>
        <w:t xml:space="preserve"> block was our aim .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C782E"/>
    <w:rsid w:val="000061B3"/>
    <w:rsid w:val="0006104F"/>
    <w:rsid w:val="00274F00"/>
    <w:rsid w:val="004B274B"/>
    <w:rsid w:val="009C782E"/>
    <w:rsid w:val="009E591E"/>
    <w:rsid w:val="00A72B4A"/>
    <w:rsid w:val="00A83F59"/>
    <w:rsid w:val="00AE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9C782E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9C78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2015-10-29T09:22:00Z</dcterms:created>
  <dcterms:modified xsi:type="dcterms:W3CDTF">2015-10-29T09:23:00Z</dcterms:modified>
</cp:coreProperties>
</file>